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24BB086F" w:rsidR="00BB2954" w:rsidRDefault="00411B1C">
      <w:r>
        <w:t xml:space="preserve">CPUC Comments on </w:t>
      </w:r>
      <w:r w:rsidR="00887837">
        <w:t>SWWH031-01 Heat Pump Water Heater, Commercial</w:t>
      </w:r>
    </w:p>
    <w:p w14:paraId="2BA7A164" w14:textId="29B04B5D" w:rsidR="004266C0" w:rsidRDefault="004266C0">
      <w:r>
        <w:t xml:space="preserve">Lead PA: </w:t>
      </w:r>
      <w:r w:rsidR="00887837">
        <w:t>SCE</w:t>
      </w:r>
    </w:p>
    <w:p w14:paraId="4BB68C7D" w14:textId="7DFAF692" w:rsidR="009E1581" w:rsidRDefault="004266C0">
      <w:r>
        <w:t xml:space="preserve">Workpaper </w:t>
      </w:r>
      <w:r w:rsidR="008F1FF0">
        <w:t xml:space="preserve">Submittal Date: </w:t>
      </w:r>
      <w:r w:rsidR="00887837">
        <w:t>1/4/2021</w:t>
      </w:r>
      <w:r w:rsidR="00AB26AE">
        <w:t xml:space="preserve"> </w:t>
      </w:r>
    </w:p>
    <w:p w14:paraId="06E32D11" w14:textId="34C0D799" w:rsidR="004266C0" w:rsidRDefault="004266C0">
      <w:r>
        <w:t xml:space="preserve">CPUC Review Date: </w:t>
      </w:r>
      <w:r w:rsidR="0034759A">
        <w:t>0</w:t>
      </w:r>
      <w:r w:rsidR="00F47010">
        <w:t>2</w:t>
      </w:r>
      <w:r w:rsidR="0034759A">
        <w:t>/1</w:t>
      </w:r>
      <w:r w:rsidR="00F47010">
        <w:t>0</w:t>
      </w:r>
      <w:r w:rsidR="0034759A">
        <w:t>/2021</w:t>
      </w:r>
    </w:p>
    <w:tbl>
      <w:tblPr>
        <w:tblStyle w:val="TableGrid"/>
        <w:tblpPr w:leftFromText="180" w:rightFromText="180" w:vertAnchor="page" w:horzAnchor="margin" w:tblpY="3346"/>
        <w:tblW w:w="0" w:type="auto"/>
        <w:tblLayout w:type="fixed"/>
        <w:tblLook w:val="04A0" w:firstRow="1" w:lastRow="0" w:firstColumn="1" w:lastColumn="0" w:noHBand="0" w:noVBand="1"/>
      </w:tblPr>
      <w:tblGrid>
        <w:gridCol w:w="4765"/>
        <w:gridCol w:w="4585"/>
      </w:tblGrid>
      <w:tr w:rsidR="00AA465E" w14:paraId="24A8D5B5" w14:textId="77777777" w:rsidTr="00AA465E">
        <w:tc>
          <w:tcPr>
            <w:tcW w:w="4765" w:type="dxa"/>
          </w:tcPr>
          <w:p w14:paraId="0B8EF2A3" w14:textId="77777777" w:rsidR="00AA465E" w:rsidRDefault="00AA465E" w:rsidP="00AA465E">
            <w:r>
              <w:t>CPUC Comment</w:t>
            </w:r>
          </w:p>
        </w:tc>
        <w:tc>
          <w:tcPr>
            <w:tcW w:w="4585" w:type="dxa"/>
          </w:tcPr>
          <w:p w14:paraId="05FF0D2B" w14:textId="77777777" w:rsidR="00AA465E" w:rsidRDefault="00AA465E" w:rsidP="00AA465E">
            <w:r>
              <w:t>PA Response</w:t>
            </w:r>
          </w:p>
        </w:tc>
      </w:tr>
      <w:tr w:rsidR="00AA465E" w14:paraId="40D256A7" w14:textId="77777777" w:rsidTr="00AA465E">
        <w:tc>
          <w:tcPr>
            <w:tcW w:w="4765" w:type="dxa"/>
          </w:tcPr>
          <w:p w14:paraId="7C1B453C" w14:textId="77777777" w:rsidR="00AA465E" w:rsidRDefault="00AA465E" w:rsidP="00AA465E">
            <w:r>
              <w:t>Please include an eligibility note that reiterates usage criteria. These technologies must serve domestic hot water end uses and not commercial/industrial processes like commercial clothes washing, commercial/industrial food preparation, non-potable industrial water heating processes. Elaboration of ineligible uses can be included under the “Use Category” section</w:t>
            </w:r>
          </w:p>
          <w:p w14:paraId="3D3C0FC0" w14:textId="77777777" w:rsidR="00AA465E" w:rsidRDefault="00AA465E" w:rsidP="00AA465E"/>
        </w:tc>
        <w:tc>
          <w:tcPr>
            <w:tcW w:w="4585" w:type="dxa"/>
          </w:tcPr>
          <w:p w14:paraId="44350374" w14:textId="77777777" w:rsidR="00AA465E" w:rsidRDefault="00AA465E" w:rsidP="00AA465E">
            <w:r>
              <w:t>Eligibility was updated in the Use Category section of the workpaper.</w:t>
            </w:r>
          </w:p>
        </w:tc>
      </w:tr>
      <w:tr w:rsidR="00AA465E" w14:paraId="016F4438" w14:textId="77777777" w:rsidTr="00AA465E">
        <w:tc>
          <w:tcPr>
            <w:tcW w:w="4765" w:type="dxa"/>
          </w:tcPr>
          <w:p w14:paraId="60531284" w14:textId="77777777" w:rsidR="00AA465E" w:rsidRDefault="00AA465E" w:rsidP="00AA465E">
            <w:r>
              <w:t>P9 why does it say the baseline for NC can be a gas water heater if the savings are calculated against an electric baseline water heater?</w:t>
            </w:r>
          </w:p>
        </w:tc>
        <w:tc>
          <w:tcPr>
            <w:tcW w:w="4585" w:type="dxa"/>
          </w:tcPr>
          <w:p w14:paraId="6DFA4797" w14:textId="77777777" w:rsidR="00AA465E" w:rsidRDefault="00AA465E" w:rsidP="00AA465E">
            <w:r>
              <w:t>The language has been removed and clarification/restriction for NC installation has been added to “Program Exclusion.”</w:t>
            </w:r>
          </w:p>
          <w:p w14:paraId="35994C70" w14:textId="77777777" w:rsidR="00AA465E" w:rsidRDefault="00AA465E" w:rsidP="00AA465E"/>
          <w:p w14:paraId="551643C5" w14:textId="77777777" w:rsidR="00AA465E" w:rsidRDefault="00AA465E" w:rsidP="00AA465E">
            <w:r>
              <w:t xml:space="preserve">The restriction is based off Fuel-Sub guidance to avoid double-dipping or contradiction between fuel-sub and elec-to-elec workpaper at the time of installation. </w:t>
            </w:r>
          </w:p>
          <w:p w14:paraId="5232C9A9" w14:textId="77777777" w:rsidR="00AA465E" w:rsidRDefault="00AA465E" w:rsidP="00AA465E"/>
        </w:tc>
      </w:tr>
      <w:tr w:rsidR="00AA465E" w14:paraId="54C66386" w14:textId="77777777" w:rsidTr="00AA465E">
        <w:tc>
          <w:tcPr>
            <w:tcW w:w="4765" w:type="dxa"/>
          </w:tcPr>
          <w:p w14:paraId="2498DA6F" w14:textId="77777777" w:rsidR="00AA465E" w:rsidRDefault="00AA465E" w:rsidP="00AA465E">
            <w:r>
              <w:t>N/A</w:t>
            </w:r>
          </w:p>
        </w:tc>
        <w:tc>
          <w:tcPr>
            <w:tcW w:w="4585" w:type="dxa"/>
          </w:tcPr>
          <w:p w14:paraId="17008FBF" w14:textId="77777777" w:rsidR="00AA465E" w:rsidRDefault="00AA465E" w:rsidP="00AA465E">
            <w:r>
              <w:t>To align with other HPWH workpapers, SCE includes the update on data collection.</w:t>
            </w:r>
          </w:p>
          <w:p w14:paraId="0B9752F1" w14:textId="77777777" w:rsidR="00AA465E" w:rsidRDefault="00AA465E" w:rsidP="00AA465E"/>
          <w:p w14:paraId="47559A64" w14:textId="77777777" w:rsidR="00AA465E" w:rsidRDefault="00AA465E" w:rsidP="00AA465E">
            <w:r>
              <w:t xml:space="preserve">SCE discussed data collection with the IOUs and have added the following data collection requirements: </w:t>
            </w:r>
          </w:p>
          <w:p w14:paraId="3A10BE51" w14:textId="77777777" w:rsidR="00AA465E" w:rsidRDefault="00AA465E" w:rsidP="00AA465E">
            <w:pPr>
              <w:pStyle w:val="ListParagraph"/>
              <w:numPr>
                <w:ilvl w:val="0"/>
                <w:numId w:val="3"/>
              </w:numPr>
              <w:spacing w:before="120" w:after="120" w:line="220" w:lineRule="atLeast"/>
              <w:contextualSpacing/>
            </w:pPr>
            <w:r>
              <w:t xml:space="preserve">Measure case equipment specifications including: </w:t>
            </w:r>
          </w:p>
          <w:p w14:paraId="2F61EC43" w14:textId="77777777" w:rsidR="00AA465E" w:rsidRDefault="00AA465E" w:rsidP="00AA465E">
            <w:pPr>
              <w:pStyle w:val="ListParagraph"/>
              <w:numPr>
                <w:ilvl w:val="1"/>
                <w:numId w:val="3"/>
              </w:numPr>
              <w:spacing w:before="120" w:after="120" w:line="220" w:lineRule="atLeast"/>
              <w:contextualSpacing/>
            </w:pPr>
            <w:r>
              <w:t>Manufacturer and model number</w:t>
            </w:r>
          </w:p>
          <w:p w14:paraId="5AB1A114" w14:textId="77777777" w:rsidR="00AA465E" w:rsidRDefault="00AA465E" w:rsidP="00AA465E">
            <w:pPr>
              <w:pStyle w:val="ListParagraph"/>
              <w:numPr>
                <w:ilvl w:val="1"/>
                <w:numId w:val="3"/>
              </w:numPr>
              <w:spacing w:before="120" w:after="120" w:line="220" w:lineRule="atLeast"/>
              <w:contextualSpacing/>
            </w:pPr>
            <w:r>
              <w:t>UEF</w:t>
            </w:r>
          </w:p>
          <w:p w14:paraId="6B7D54D4" w14:textId="77777777" w:rsidR="00AA465E" w:rsidRDefault="00AA465E" w:rsidP="00AA465E">
            <w:pPr>
              <w:pStyle w:val="ListParagraph"/>
              <w:numPr>
                <w:ilvl w:val="1"/>
                <w:numId w:val="3"/>
              </w:numPr>
              <w:spacing w:before="120" w:after="120" w:line="220" w:lineRule="atLeast"/>
              <w:contextualSpacing/>
            </w:pPr>
            <w:r>
              <w:t>Storage volume in gallons</w:t>
            </w:r>
          </w:p>
          <w:p w14:paraId="422C3DAE" w14:textId="77777777" w:rsidR="00AA465E" w:rsidRDefault="00AA465E" w:rsidP="00AA465E">
            <w:pPr>
              <w:pStyle w:val="ListParagraph"/>
              <w:numPr>
                <w:ilvl w:val="1"/>
                <w:numId w:val="3"/>
              </w:numPr>
              <w:spacing w:before="120" w:after="120" w:line="220" w:lineRule="atLeast"/>
              <w:contextualSpacing/>
            </w:pPr>
            <w:r>
              <w:t>First Hour Rating (FHR)</w:t>
            </w:r>
          </w:p>
          <w:p w14:paraId="36470F02" w14:textId="77777777" w:rsidR="00AA465E" w:rsidRDefault="00AA465E" w:rsidP="00AA465E">
            <w:pPr>
              <w:pStyle w:val="ListParagraph"/>
              <w:numPr>
                <w:ilvl w:val="0"/>
                <w:numId w:val="3"/>
              </w:numPr>
              <w:spacing w:before="120" w:after="120" w:line="220" w:lineRule="atLeast"/>
              <w:contextualSpacing/>
            </w:pPr>
            <w:r>
              <w:t>Customer site information including:</w:t>
            </w:r>
          </w:p>
          <w:p w14:paraId="5F178E8D" w14:textId="77777777" w:rsidR="00AA465E" w:rsidRDefault="00AA465E" w:rsidP="00AA465E">
            <w:pPr>
              <w:pStyle w:val="ListParagraph"/>
              <w:numPr>
                <w:ilvl w:val="1"/>
                <w:numId w:val="3"/>
              </w:numPr>
              <w:spacing w:before="120" w:after="120" w:line="220" w:lineRule="atLeast"/>
              <w:contextualSpacing/>
            </w:pPr>
            <w:r>
              <w:t xml:space="preserve">Climate Zone </w:t>
            </w:r>
          </w:p>
          <w:p w14:paraId="25C4945C" w14:textId="77777777" w:rsidR="00AA465E" w:rsidRPr="00A8667B" w:rsidRDefault="00AA465E" w:rsidP="00AA465E">
            <w:pPr>
              <w:pStyle w:val="ListParagraph"/>
              <w:numPr>
                <w:ilvl w:val="1"/>
                <w:numId w:val="3"/>
              </w:numPr>
              <w:spacing w:before="120" w:after="120" w:line="220" w:lineRule="atLeast"/>
              <w:contextualSpacing/>
            </w:pPr>
            <w:r>
              <w:t>Building Type (for downstream measures)</w:t>
            </w:r>
          </w:p>
          <w:p w14:paraId="017C5ECC" w14:textId="77777777" w:rsidR="00AA465E" w:rsidRDefault="00AA465E" w:rsidP="00AA465E">
            <w:r>
              <w:t xml:space="preserve">Based on conversations with the IOUs the following will not be included as they were determined to be burdensome and costly to the </w:t>
            </w:r>
            <w:r>
              <w:lastRenderedPageBreak/>
              <w:t xml:space="preserve">application process. They also may not be easy for customers to understand and report correctly: </w:t>
            </w:r>
          </w:p>
          <w:p w14:paraId="1B4D75A1" w14:textId="77777777" w:rsidR="00AA465E" w:rsidRDefault="00AA465E" w:rsidP="00AA465E">
            <w:pPr>
              <w:pStyle w:val="ListParagraph"/>
              <w:numPr>
                <w:ilvl w:val="0"/>
                <w:numId w:val="2"/>
              </w:numPr>
            </w:pPr>
            <w:r w:rsidRPr="00AB489F">
              <w:t xml:space="preserve">Installed location (conditioned, unconditioned space) </w:t>
            </w:r>
          </w:p>
          <w:p w14:paraId="05A659D7" w14:textId="77777777" w:rsidR="00AA465E" w:rsidRDefault="00AA465E" w:rsidP="00AA465E">
            <w:pPr>
              <w:pStyle w:val="ListParagraph"/>
              <w:numPr>
                <w:ilvl w:val="0"/>
                <w:numId w:val="2"/>
              </w:numPr>
            </w:pPr>
            <w:r w:rsidRPr="00AB489F">
              <w:t xml:space="preserve">For installations in conditioned space, the building heating </w:t>
            </w:r>
            <w:r>
              <w:t xml:space="preserve">and cooling </w:t>
            </w:r>
            <w:r w:rsidRPr="00AB489F">
              <w:t>type (</w:t>
            </w:r>
            <w:r>
              <w:t>e.g., split system AC with gas furnace, split system heat pump, central gas furnace without AC</w:t>
            </w:r>
            <w:r w:rsidRPr="00AB489F">
              <w:t>)</w:t>
            </w:r>
          </w:p>
          <w:p w14:paraId="59D13C7F" w14:textId="77777777" w:rsidR="00AA465E" w:rsidRDefault="00AA465E" w:rsidP="00AA465E">
            <w:pPr>
              <w:pStyle w:val="ListParagraph"/>
              <w:numPr>
                <w:ilvl w:val="0"/>
                <w:numId w:val="2"/>
              </w:numPr>
            </w:pPr>
            <w:r>
              <w:t>Is heat pump water heater exhaust ducted to outside or unconditioned space? (Yes/no)</w:t>
            </w:r>
          </w:p>
          <w:p w14:paraId="75FBB7C8" w14:textId="2EA7137E" w:rsidR="00AA465E" w:rsidRDefault="00AA465E" w:rsidP="00AA465E">
            <w:pPr>
              <w:pStyle w:val="ListParagraph"/>
              <w:numPr>
                <w:ilvl w:val="0"/>
                <w:numId w:val="2"/>
              </w:numPr>
            </w:pPr>
            <w:r>
              <w:t>Is heat pump water heater intake ducted to outside or unconditioned space? (Yes/no)</w:t>
            </w:r>
          </w:p>
        </w:tc>
      </w:tr>
      <w:tr w:rsidR="001D5F83" w14:paraId="599AE2A2" w14:textId="77777777" w:rsidTr="00AA465E">
        <w:tc>
          <w:tcPr>
            <w:tcW w:w="4765" w:type="dxa"/>
          </w:tcPr>
          <w:p w14:paraId="6E80AEC4" w14:textId="767DFC35" w:rsidR="001D5F83" w:rsidRDefault="001D5F83" w:rsidP="00AA465E">
            <w:r>
              <w:lastRenderedPageBreak/>
              <w:t>N/A</w:t>
            </w:r>
          </w:p>
        </w:tc>
        <w:tc>
          <w:tcPr>
            <w:tcW w:w="4585" w:type="dxa"/>
          </w:tcPr>
          <w:p w14:paraId="59BD98C7" w14:textId="648EC416" w:rsidR="001D5F83" w:rsidRDefault="001D5F83" w:rsidP="00AA465E">
            <w:r>
              <w:t>Updated technology description to match other HPWH measures.</w:t>
            </w:r>
          </w:p>
        </w:tc>
      </w:tr>
      <w:tr w:rsidR="00C6117D" w14:paraId="18428A7B" w14:textId="77777777" w:rsidTr="00AA465E">
        <w:tc>
          <w:tcPr>
            <w:tcW w:w="4765" w:type="dxa"/>
          </w:tcPr>
          <w:p w14:paraId="1FBFD471" w14:textId="46EAA3CF" w:rsidR="00C6117D" w:rsidRDefault="00C6117D" w:rsidP="00AA465E">
            <w:r>
              <w:t>N/A</w:t>
            </w:r>
          </w:p>
        </w:tc>
        <w:tc>
          <w:tcPr>
            <w:tcW w:w="4585" w:type="dxa"/>
          </w:tcPr>
          <w:p w14:paraId="1D45C27A" w14:textId="31F7D791" w:rsidR="00C6117D" w:rsidRDefault="00C6117D" w:rsidP="00C6117D">
            <w:r>
              <w:t>Updated base case description to state “This workpaper assumes that the existing case and standard case baselines use the same code compliant equipment.”</w:t>
            </w:r>
          </w:p>
        </w:tc>
      </w:tr>
      <w:tr w:rsidR="00C117A7" w14:paraId="327E76C4" w14:textId="77777777" w:rsidTr="00AA465E">
        <w:tc>
          <w:tcPr>
            <w:tcW w:w="4765" w:type="dxa"/>
          </w:tcPr>
          <w:p w14:paraId="7908DBC3" w14:textId="491D9D33" w:rsidR="00C117A7" w:rsidRDefault="00C117A7" w:rsidP="00AA465E">
            <w:r>
              <w:t>N/A</w:t>
            </w:r>
          </w:p>
        </w:tc>
        <w:tc>
          <w:tcPr>
            <w:tcW w:w="4585" w:type="dxa"/>
          </w:tcPr>
          <w:p w14:paraId="63E3BAB4" w14:textId="76E266D2" w:rsidR="00C117A7" w:rsidRDefault="00C117A7" w:rsidP="00C6117D">
            <w:r>
              <w:t>Removed upstream eligibility for new construction measures</w:t>
            </w:r>
          </w:p>
        </w:tc>
      </w:tr>
    </w:tbl>
    <w:p w14:paraId="34C58858" w14:textId="622D88E8" w:rsidR="00AB26AE" w:rsidRDefault="00AB26AE"/>
    <w:p w14:paraId="72C6D87B" w14:textId="00E2F28A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F61F18" w14:textId="77777777" w:rsidR="00622F45" w:rsidRDefault="00622F45" w:rsidP="00C0410A">
      <w:pPr>
        <w:spacing w:after="0" w:line="240" w:lineRule="auto"/>
      </w:pPr>
      <w:r>
        <w:separator/>
      </w:r>
    </w:p>
  </w:endnote>
  <w:endnote w:type="continuationSeparator" w:id="0">
    <w:p w14:paraId="20456863" w14:textId="77777777" w:rsidR="00622F45" w:rsidRDefault="00622F45" w:rsidP="00C04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4C2FB" w14:textId="77777777" w:rsidR="00622F45" w:rsidRDefault="00622F45" w:rsidP="00C0410A">
      <w:pPr>
        <w:spacing w:after="0" w:line="240" w:lineRule="auto"/>
      </w:pPr>
      <w:r>
        <w:separator/>
      </w:r>
    </w:p>
  </w:footnote>
  <w:footnote w:type="continuationSeparator" w:id="0">
    <w:p w14:paraId="2ABC45E3" w14:textId="77777777" w:rsidR="00622F45" w:rsidRDefault="00622F45" w:rsidP="00C04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EA2CC1"/>
    <w:multiLevelType w:val="hybridMultilevel"/>
    <w:tmpl w:val="3626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E93ABE"/>
    <w:multiLevelType w:val="hybridMultilevel"/>
    <w:tmpl w:val="865CE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QxNjc0NjY3MzQ3MLdU0lEKTi0uzszPAykwrAUA5HzoDSwAAAA="/>
  </w:docVars>
  <w:rsids>
    <w:rsidRoot w:val="00AC21BB"/>
    <w:rsid w:val="00016F16"/>
    <w:rsid w:val="00047FC1"/>
    <w:rsid w:val="00092D7A"/>
    <w:rsid w:val="00096A19"/>
    <w:rsid w:val="00117A10"/>
    <w:rsid w:val="00131866"/>
    <w:rsid w:val="0013647D"/>
    <w:rsid w:val="00193344"/>
    <w:rsid w:val="001D5F83"/>
    <w:rsid w:val="002A755F"/>
    <w:rsid w:val="002E05AF"/>
    <w:rsid w:val="0034759A"/>
    <w:rsid w:val="003E2B63"/>
    <w:rsid w:val="003E79B7"/>
    <w:rsid w:val="00411B1C"/>
    <w:rsid w:val="004266C0"/>
    <w:rsid w:val="004E6DCC"/>
    <w:rsid w:val="004E7F9C"/>
    <w:rsid w:val="00622F45"/>
    <w:rsid w:val="006C0B7D"/>
    <w:rsid w:val="006C6E3A"/>
    <w:rsid w:val="006F56C1"/>
    <w:rsid w:val="0072248F"/>
    <w:rsid w:val="00791A22"/>
    <w:rsid w:val="007C3351"/>
    <w:rsid w:val="00887837"/>
    <w:rsid w:val="008963E4"/>
    <w:rsid w:val="008A425B"/>
    <w:rsid w:val="008F1FF0"/>
    <w:rsid w:val="00905B03"/>
    <w:rsid w:val="009E1581"/>
    <w:rsid w:val="00A51344"/>
    <w:rsid w:val="00A61C4C"/>
    <w:rsid w:val="00A81C06"/>
    <w:rsid w:val="00A834E9"/>
    <w:rsid w:val="00AA465E"/>
    <w:rsid w:val="00AB26AE"/>
    <w:rsid w:val="00AC21BB"/>
    <w:rsid w:val="00AD3DAD"/>
    <w:rsid w:val="00B8145B"/>
    <w:rsid w:val="00B8579B"/>
    <w:rsid w:val="00BA4AC4"/>
    <w:rsid w:val="00BB2954"/>
    <w:rsid w:val="00C0410A"/>
    <w:rsid w:val="00C117A7"/>
    <w:rsid w:val="00C358CB"/>
    <w:rsid w:val="00C53C4D"/>
    <w:rsid w:val="00C6117D"/>
    <w:rsid w:val="00CE69EE"/>
    <w:rsid w:val="00D01987"/>
    <w:rsid w:val="00D5433F"/>
    <w:rsid w:val="00D66A2F"/>
    <w:rsid w:val="00DB37E9"/>
    <w:rsid w:val="00EB0308"/>
    <w:rsid w:val="00EC4C2D"/>
    <w:rsid w:val="00F00D47"/>
    <w:rsid w:val="00F46BB9"/>
    <w:rsid w:val="00F47010"/>
    <w:rsid w:val="00F968C4"/>
    <w:rsid w:val="00FB0581"/>
    <w:rsid w:val="00FE56C5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88135E41E9D6448D0005B80BE8C4C7" ma:contentTypeVersion="11" ma:contentTypeDescription="Create a new document." ma:contentTypeScope="" ma:versionID="f637e8be24cb182cba5fddab25e86c2c">
  <xsd:schema xmlns:xsd="http://www.w3.org/2001/XMLSchema" xmlns:xs="http://www.w3.org/2001/XMLSchema" xmlns:p="http://schemas.microsoft.com/office/2006/metadata/properties" xmlns:ns2="8aebc1d6-8a5b-4abf-ad3d-af84d2890fe0" xmlns:ns3="d3106004-9f6e-4b83-8ed9-be138ce62bdb" targetNamespace="http://schemas.microsoft.com/office/2006/metadata/properties" ma:root="true" ma:fieldsID="f54cc57cee20c3b563f00cafb29cc0ed" ns2:_="" ns3:_="">
    <xsd:import namespace="8aebc1d6-8a5b-4abf-ad3d-af84d2890fe0"/>
    <xsd:import namespace="d3106004-9f6e-4b83-8ed9-be138ce62bd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ebc1d6-8a5b-4abf-ad3d-af84d2890f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106004-9f6e-4b83-8ed9-be138ce62b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DBF8BF-1E25-46F0-B042-F2D9C09BC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ebc1d6-8a5b-4abf-ad3d-af84d2890fe0"/>
    <ds:schemaRef ds:uri="d3106004-9f6e-4b83-8ed9-be138ce62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BBE761-F8C6-47D6-8304-1045653945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54CAE-8DAF-44E3-8E48-9FCA6173CD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Christopher</dc:creator>
  <cp:keywords/>
  <dc:description/>
  <cp:lastModifiedBy>Jesse Clive Putra Manao</cp:lastModifiedBy>
  <cp:revision>15</cp:revision>
  <dcterms:created xsi:type="dcterms:W3CDTF">2021-03-05T17:36:00Z</dcterms:created>
  <dcterms:modified xsi:type="dcterms:W3CDTF">2021-05-19T19:48:00Z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0x010100AA88135E41E9D6448D0005B80BE8C4C7</vt:lpwstr>
  </property>
</Properties>
</file>